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ELEMENTARY AND EARLY CHILDHOOD EDUCATION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UNDERGRADUATE PROGRAM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to Ovid 19 arrangements for student teaching have been modified. </w:t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 back monthly for updates.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In Student Teaching, students connect what they learn in EECE coursework to actual classroom practice. There are</w:t>
      </w:r>
      <w:r w:rsidDel="00000000" w:rsidR="00000000" w:rsidRPr="00000000">
        <w:rPr>
          <w:u w:val="single"/>
          <w:rtl w:val="0"/>
        </w:rPr>
        <w:t xml:space="preserve"> two</w:t>
      </w:r>
      <w:r w:rsidDel="00000000" w:rsidR="00000000" w:rsidRPr="00000000">
        <w:rPr>
          <w:rtl w:val="0"/>
        </w:rPr>
        <w:t xml:space="preserve"> consecutive semesters of Student Teaching, generally taken during the final two semesters in the EECE program.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b w:val="1"/>
          <w:color w:val="212121"/>
          <w:u w:val="single"/>
        </w:rPr>
      </w:pPr>
      <w:r w:rsidDel="00000000" w:rsidR="00000000" w:rsidRPr="00000000">
        <w:rPr>
          <w:b w:val="1"/>
          <w:color w:val="212121"/>
          <w:u w:val="single"/>
          <w:rtl w:val="0"/>
        </w:rPr>
        <w:t xml:space="preserve">Student Teaching Requirements: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In addition to completing required coursework, prior to Student Teaching students must: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Be </w:t>
      </w:r>
      <w:r w:rsidDel="00000000" w:rsidR="00000000" w:rsidRPr="00000000">
        <w:rPr>
          <w:color w:val="212121"/>
          <w:u w:val="single"/>
          <w:rtl w:val="0"/>
        </w:rPr>
        <w:t xml:space="preserve">fingerprinted</w:t>
      </w:r>
      <w:r w:rsidDel="00000000" w:rsidR="00000000" w:rsidRPr="00000000">
        <w:rPr>
          <w:color w:val="212121"/>
          <w:rtl w:val="0"/>
        </w:rPr>
        <w:t xml:space="preserve">, cleared, and connected to the Queens College database in the NYC DOE PET System (65 Court Street, Brooklyn).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Fill out a </w:t>
      </w:r>
      <w:r w:rsidDel="00000000" w:rsidR="00000000" w:rsidRPr="00000000">
        <w:rPr>
          <w:color w:val="212121"/>
          <w:u w:val="single"/>
          <w:rtl w:val="0"/>
        </w:rPr>
        <w:t xml:space="preserve">placement survey</w:t>
      </w:r>
      <w:r w:rsidDel="00000000" w:rsidR="00000000" w:rsidRPr="00000000">
        <w:rPr>
          <w:color w:val="212121"/>
          <w:rtl w:val="0"/>
        </w:rPr>
        <w:t xml:space="preserve">. This survey will be sent by the Field Office via QC email.      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Provide the Field Office with a </w:t>
      </w:r>
      <w:r w:rsidDel="00000000" w:rsidR="00000000" w:rsidRPr="00000000">
        <w:rPr>
          <w:color w:val="212121"/>
          <w:u w:val="single"/>
          <w:rtl w:val="0"/>
        </w:rPr>
        <w:t xml:space="preserve">TB clearance form</w:t>
      </w:r>
      <w:r w:rsidDel="00000000" w:rsidR="00000000" w:rsidRPr="00000000">
        <w:rPr>
          <w:color w:val="212121"/>
          <w:rtl w:val="0"/>
        </w:rPr>
        <w:t xml:space="preserve">. Information regarding TB clearance is sent by the Field Office via QC email.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b w:val="1"/>
          <w:color w:val="2121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color w:val="212121"/>
          <w:u w:val="single"/>
          <w:rtl w:val="0"/>
        </w:rPr>
        <w:t xml:space="preserve">Student Teaching Placements: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In compliance with NYS requirements for Childhood Education, all students complete one placement in the lower grades, and one in the upper grades.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Placements are assigned by the Field Office; requests for specific sites or changes in placement cannot be accommodated.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In assigning placements, the Field Office tries to limit student’s commute as much as possible. Most commutes are under 40 minutes, but this is not always possible.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Only NYC Department of Education schools located in Queens are used for Student Teaching placements; no other schools are used.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720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b w:val="1"/>
          <w:color w:val="212121"/>
          <w:u w:val="single"/>
        </w:rPr>
      </w:pPr>
      <w:r w:rsidDel="00000000" w:rsidR="00000000" w:rsidRPr="00000000">
        <w:rPr>
          <w:b w:val="1"/>
          <w:color w:val="212121"/>
          <w:u w:val="single"/>
          <w:rtl w:val="0"/>
        </w:rPr>
        <w:t xml:space="preserve">Student Teaching Seminar: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While enrolled in Student Teaching, students are also enrolled in a Student Teaching seminar that meets one day per week, 3:00-4:20.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The seminar covers topics such as classroom management, lesson plan development, and differentiation.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b w:val="1"/>
          <w:color w:val="2121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b w:val="1"/>
          <w:color w:val="212121"/>
          <w:u w:val="single"/>
        </w:rPr>
      </w:pPr>
      <w:r w:rsidDel="00000000" w:rsidR="00000000" w:rsidRPr="00000000">
        <w:rPr>
          <w:b w:val="1"/>
          <w:color w:val="212121"/>
          <w:u w:val="single"/>
          <w:rtl w:val="0"/>
        </w:rPr>
        <w:t xml:space="preserve">Student Teaching Schedule: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In the 1</w:t>
      </w:r>
      <w:r w:rsidDel="00000000" w:rsidR="00000000" w:rsidRPr="00000000">
        <w:rPr>
          <w:color w:val="212121"/>
          <w:vertAlign w:val="superscript"/>
          <w:rtl w:val="0"/>
        </w:rPr>
        <w:t xml:space="preserve">st</w:t>
      </w:r>
      <w:r w:rsidDel="00000000" w:rsidR="00000000" w:rsidRPr="00000000">
        <w:rPr>
          <w:color w:val="212121"/>
          <w:rtl w:val="0"/>
        </w:rPr>
        <w:t xml:space="preserve"> semester of student teaching, students teach on Monday, Tuesday, and Friday (full days), and the Student Teaching seminar is on Tuesday.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spacing w:after="0" w:line="24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In the 2</w:t>
      </w:r>
      <w:r w:rsidDel="00000000" w:rsidR="00000000" w:rsidRPr="00000000">
        <w:rPr>
          <w:color w:val="212121"/>
          <w:vertAlign w:val="superscript"/>
          <w:rtl w:val="0"/>
        </w:rPr>
        <w:t xml:space="preserve">nd</w:t>
      </w:r>
      <w:r w:rsidDel="00000000" w:rsidR="00000000" w:rsidRPr="00000000">
        <w:rPr>
          <w:color w:val="212121"/>
          <w:rtl w:val="0"/>
        </w:rPr>
        <w:t xml:space="preserve"> semester, students teach Monday to Thursday (full days), and the Student Teaching seminar is on Wednesday.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b w:val="1"/>
          <w:color w:val="2121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Rule="auto"/>
        <w:rPr>
          <w:b w:val="1"/>
          <w:color w:val="212121"/>
        </w:rPr>
      </w:pPr>
      <w:r w:rsidDel="00000000" w:rsidR="00000000" w:rsidRPr="00000000">
        <w:rPr>
          <w:b w:val="1"/>
          <w:color w:val="212121"/>
          <w:u w:val="single"/>
          <w:rtl w:val="0"/>
        </w:rPr>
        <w:t xml:space="preserve">For information about student teaching:</w:t>
      </w:r>
      <w:r w:rsidDel="00000000" w:rsidR="00000000" w:rsidRPr="00000000">
        <w:rPr>
          <w:b w:val="1"/>
          <w:color w:val="212121"/>
          <w:rtl w:val="0"/>
        </w:rPr>
        <w:t xml:space="preserve">   Dr. Michael Perrone 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b w:val="1"/>
          <w:color w:val="2121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Note: This information is accurate as of February 2020; check with EECE for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1152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-101599</wp:posOffset>
              </wp:positionV>
              <wp:extent cx="3999865" cy="34925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46068" y="3605375"/>
                        <a:ext cx="3999865" cy="349250"/>
                        <a:chOff x="3346068" y="3605375"/>
                        <a:chExt cx="3999865" cy="349250"/>
                      </a:xfrm>
                    </wpg:grpSpPr>
                    <wpg:grpSp>
                      <wpg:cNvGrpSpPr/>
                      <wpg:grpSpPr>
                        <a:xfrm>
                          <a:off x="3346068" y="3605375"/>
                          <a:ext cx="3999865" cy="349250"/>
                          <a:chOff x="3346068" y="3605375"/>
                          <a:chExt cx="3999865" cy="3492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346068" y="3605375"/>
                            <a:ext cx="3999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346068" y="3605375"/>
                            <a:ext cx="3999865" cy="349250"/>
                            <a:chOff x="0" y="0"/>
                            <a:chExt cx="6977168" cy="54102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977150" cy="54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118533"/>
                              <a:ext cx="1267460" cy="28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age result for qc logo cuny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290733" y="0"/>
                              <a:ext cx="686435" cy="43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861733" y="0"/>
                              <a:ext cx="1308735" cy="54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-101599</wp:posOffset>
              </wp:positionV>
              <wp:extent cx="3999865" cy="34925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9865" cy="349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63500</wp:posOffset>
              </wp:positionV>
              <wp:extent cx="4486910" cy="25844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112070" y="3660303"/>
                        <a:ext cx="446786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Transitions to Teaching is supported by the Graduate NYC Innovation Fund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63500</wp:posOffset>
              </wp:positionV>
              <wp:extent cx="4486910" cy="25844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6910" cy="258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1766570</wp:posOffset>
          </wp:positionH>
          <wp:positionV relativeFrom="paragraph">
            <wp:posOffset>-334642</wp:posOffset>
          </wp:positionV>
          <wp:extent cx="2235200" cy="546100"/>
          <wp:effectExtent b="0" l="0" r="0" t="0"/>
          <wp:wrapSquare wrapText="bothSides" distB="0" distT="0" distL="114300" distR="114300"/>
          <wp:docPr descr="https://lh5.googleusercontent.com/8kN7CBmoiHUxMdlARbEd0HuyrrOmvTyKLtNdKVRjJ_t1TfGbT10aIwkffYmp_YaET1rTEbB5wZ-G8SGoQx63gCxXf4m5Zp6RsTAeB4-ZJ3QPyvc9gqgtn-pdQtRvojKuClxtWA9w" id="3" name="image3.png"/>
          <a:graphic>
            <a:graphicData uri="http://schemas.openxmlformats.org/drawingml/2006/picture">
              <pic:pic>
                <pic:nvPicPr>
                  <pic:cNvPr descr="https://lh5.googleusercontent.com/8kN7CBmoiHUxMdlARbEd0HuyrrOmvTyKLtNdKVRjJ_t1TfGbT10aIwkffYmp_YaET1rTEbB5wZ-G8SGoQx63gCxXf4m5Zp6RsTAeB4-ZJ3QPyvc9gqgtn-pdQtRvojKuClxtWA9w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5200" cy="546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4.jpg"/><Relationship Id="rId3" Type="http://schemas.openxmlformats.org/officeDocument/2006/relationships/image" Target="media/image5.jpg"/><Relationship Id="rId4" Type="http://schemas.openxmlformats.org/officeDocument/2006/relationships/image" Target="media/image1.png"/><Relationship Id="rId5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