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797f86" w:space="3" w:sz="6" w:val="single"/>
          <w:right w:space="0" w:sz="0" w:val="nil"/>
          <w:between w:space="0" w:sz="0" w:val="nil"/>
        </w:pBdr>
        <w:shd w:fill="auto" w:val="clear"/>
        <w:spacing w:after="80" w:before="120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4a88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4a88"/>
          <w:sz w:val="40"/>
          <w:szCs w:val="40"/>
          <w:u w:val="none"/>
          <w:shd w:fill="auto" w:val="clear"/>
          <w:vertAlign w:val="baseline"/>
          <w:rtl w:val="0"/>
        </w:rPr>
        <w:t xml:space="preserve">Training and Strategy Visit –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28b00"/>
          <w:sz w:val="40"/>
          <w:szCs w:val="40"/>
          <w:u w:val="none"/>
          <w:shd w:fill="auto" w:val="clear"/>
          <w:vertAlign w:val="baseline"/>
          <w:rtl w:val="0"/>
        </w:rPr>
        <w:t xml:space="preserve">CUNY Queens College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-41909</wp:posOffset>
            </wp:positionH>
            <wp:positionV relativeFrom="paragraph">
              <wp:posOffset>73025</wp:posOffset>
            </wp:positionV>
            <wp:extent cx="1344168" cy="512064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512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295275</wp:posOffset>
                </wp:positionV>
                <wp:extent cx="2780157" cy="35699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684" y="3606264"/>
                          <a:ext cx="2770632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ckwell" w:cs="Rockwell" w:eastAsia="Rockwell" w:hAnsi="Rockwell"/>
                                <w:b w:val="0"/>
                                <w:i w:val="0"/>
                                <w:smallCaps w:val="0"/>
                                <w:strike w:val="0"/>
                                <w:color w:val="004a88"/>
                                <w:sz w:val="24"/>
                                <w:vertAlign w:val="baseline"/>
                              </w:rPr>
                              <w:t xml:space="preserve">Student Success Collaborative </w:t>
                            </w:r>
                            <w:r w:rsidDel="00000000" w:rsidR="00000000" w:rsidRPr="00000000">
                              <w:rPr>
                                <w:rFonts w:ascii="Rockwell" w:cs="Rockwell" w:eastAsia="Rockwell" w:hAnsi="Rockwell"/>
                                <w:b w:val="0"/>
                                <w:i w:val="0"/>
                                <w:smallCaps w:val="0"/>
                                <w:strike w:val="0"/>
                                <w:color w:val="004a88"/>
                                <w:sz w:val="24"/>
                                <w:vertAlign w:val="superscript"/>
                              </w:rPr>
                              <w:t xml:space="preserve">TM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295275</wp:posOffset>
                </wp:positionV>
                <wp:extent cx="2780157" cy="35699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157" cy="3569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28b00"/>
          <w:sz w:val="28"/>
          <w:szCs w:val="28"/>
        </w:rPr>
      </w:pPr>
      <w:r w:rsidDel="00000000" w:rsidR="00000000" w:rsidRPr="00000000">
        <w:rPr>
          <w:color w:val="f28b00"/>
          <w:sz w:val="28"/>
          <w:szCs w:val="28"/>
          <w:rtl w:val="0"/>
        </w:rPr>
        <w:t xml:space="preserve">September 19, 2019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28b00"/>
          <w:sz w:val="28"/>
          <w:szCs w:val="28"/>
        </w:rPr>
      </w:pPr>
      <w:r w:rsidDel="00000000" w:rsidR="00000000" w:rsidRPr="00000000">
        <w:rPr>
          <w:color w:val="f28b00"/>
          <w:sz w:val="28"/>
          <w:szCs w:val="28"/>
          <w:rtl w:val="0"/>
        </w:rPr>
        <w:t xml:space="preserve">RSVP: </w:t>
      </w:r>
      <w:hyperlink r:id="rId8">
        <w:r w:rsidDel="00000000" w:rsidR="00000000" w:rsidRPr="00000000">
          <w:rPr>
            <w:color w:val="1155cc"/>
            <w:sz w:val="28"/>
            <w:szCs w:val="28"/>
            <w:rtl w:val="0"/>
          </w:rPr>
          <w:t xml:space="preserve">https://forms.gle/tDCdJxTKFsEYJSMe7</w:t>
        </w:r>
      </w:hyperlink>
      <w:r w:rsidDel="00000000" w:rsidR="00000000" w:rsidRPr="00000000">
        <w:rPr>
          <w:color w:val="f28b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28b00"/>
          <w:sz w:val="28"/>
          <w:szCs w:val="28"/>
        </w:rPr>
      </w:pPr>
      <w:r w:rsidDel="00000000" w:rsidR="00000000" w:rsidRPr="00000000">
        <w:rPr>
          <w:color w:val="f28b00"/>
          <w:sz w:val="28"/>
          <w:szCs w:val="28"/>
          <w:rtl w:val="0"/>
        </w:rPr>
        <w:t xml:space="preserve">Location: Rosenthal Library-President’s Conference Room #2, 5th Floor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28b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20"/>
      </w:tblPr>
      <w:tblGrid>
        <w:gridCol w:w="1695"/>
        <w:gridCol w:w="1755"/>
        <w:gridCol w:w="3525"/>
        <w:gridCol w:w="3180"/>
        <w:tblGridChange w:id="0">
          <w:tblGrid>
            <w:gridCol w:w="1695"/>
            <w:gridCol w:w="1755"/>
            <w:gridCol w:w="3525"/>
            <w:gridCol w:w="3180"/>
          </w:tblGrid>
        </w:tblGridChange>
      </w:tblGrid>
      <w:tr>
        <w:trPr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Goals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Recommended Attendees </w:t>
            </w:r>
          </w:p>
        </w:tc>
      </w:tr>
      <w:tr>
        <w:trPr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9–10 AM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Analytics Session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next steps for analytics decision making, using EAB provided toolkit.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 Team </w:t>
            </w:r>
          </w:p>
        </w:tc>
      </w:tr>
      <w:tr>
        <w:trPr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AM–12 </w:t>
            </w:r>
            <w:r w:rsidDel="00000000" w:rsidR="00000000" w:rsidRPr="00000000">
              <w:rPr>
                <w:color w:val="4f586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Navigate Training Session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 on all Phase I elements of Advising Management.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profile, notes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Messaging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Campaigns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Advanced Search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Saved Lists/searches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 Center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Progress Reports Demo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Workflow and Training Team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Representative from each Phase I user group/unit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Administrator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(Optional) Leadership Team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0" w:right="0" w:hanging="187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color w:val="4f5861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color w:val="4f5861"/>
                <w:sz w:val="20"/>
                <w:szCs w:val="20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Working Lunch - Training Strategy and Resources Discussion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Workflow and Training team continues discussing training strategy for Phase I and II users across the fall.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Workflow and Training Team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Sponsor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Owner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 Team (optional)</w:t>
            </w:r>
          </w:p>
        </w:tc>
      </w:tr>
      <w:tr>
        <w:trPr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586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–1:45 PM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28b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 Team: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Navigate Student Live Walkthrough of App, Q&amp;A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Demonstration and overview of the app, and first year content available to students.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Q&amp;A, feedback on the app.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 Team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Content Development Team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Promotion Engagement Team </w:t>
            </w:r>
          </w:p>
        </w:tc>
      </w:tr>
      <w:tr>
        <w:trPr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2–2:30 PM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Navigate Student Content Session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Working session to review content progress and continue work on Navigate Student To-Do’s and Quick Polls.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Content Engagement Team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(Optional) Promotion Engagement Team</w:t>
            </w:r>
          </w:p>
        </w:tc>
      </w:tr>
      <w:tr>
        <w:trPr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2:30–3 PM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Navigate Student Promotion Session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 in on promotion and communication strategy—key opportunities, outlets, dates, and owners.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Promotion Team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(Optional) Content Engagement Team </w:t>
            </w:r>
          </w:p>
        </w:tc>
      </w:tr>
      <w:tr>
        <w:trPr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4f5861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3:30 PM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Wrap Up and Next Steps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Debrief of Navigate and Navigate Student sessions. Discussion of next steps leading up Phase I Launches.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Sponsor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40" w:right="0" w:hanging="27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4f58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 Team</w:t>
            </w:r>
          </w:p>
        </w:tc>
      </w:tr>
    </w:tbl>
    <w:p w:rsidR="00000000" w:rsidDel="00000000" w:rsidP="00000000" w:rsidRDefault="00000000" w:rsidRPr="00000000" w14:paraId="0000003D">
      <w:pPr>
        <w:spacing w:before="100" w:line="280" w:lineRule="auto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432" w:top="720" w:left="936" w:right="936" w:header="576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ourier New"/>
  <w:font w:name="Noto Sans Symbols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before="144" w:lineRule="auto"/>
      <w:ind w:right="18"/>
      <w:rPr>
        <w:color w:val="797f86"/>
        <w:sz w:val="11"/>
        <w:szCs w:val="11"/>
      </w:rPr>
    </w:pPr>
    <w:r w:rsidDel="00000000" w:rsidR="00000000" w:rsidRPr="00000000">
      <w:rPr>
        <w:color w:val="797f86"/>
        <w:sz w:val="11"/>
        <w:szCs w:val="11"/>
        <w:rtl w:val="0"/>
      </w:rPr>
      <w:t xml:space="preserve">©2017 The Advisory Board Company</w:t>
    </w:r>
    <w:r w:rsidDel="00000000" w:rsidR="00000000" w:rsidRPr="00000000">
      <w:rPr>
        <w:rFonts w:ascii="Rockwell" w:cs="Rockwell" w:eastAsia="Rockwell" w:hAnsi="Rockwell"/>
        <w:color w:val="797f86"/>
        <w:sz w:val="17"/>
        <w:szCs w:val="17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797f86"/>
        <w:sz w:val="11"/>
        <w:szCs w:val="11"/>
        <w:rtl w:val="0"/>
      </w:rPr>
      <w:t xml:space="preserve">eab.com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4f5861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Rockwell" w:cs="Rockwell" w:eastAsia="Rockwell" w:hAnsi="Rockwell"/>
      <w:b w:val="1"/>
      <w:color w:val="93979b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Rockwell" w:cs="Rockwell" w:eastAsia="Rockwell" w:hAnsi="Rockwell"/>
      <w:b w:val="1"/>
      <w:color w:val="c8cac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Rockwell" w:cs="Rockwell" w:eastAsia="Rockwell" w:hAnsi="Rockwell"/>
      <w:b w:val="1"/>
      <w:color w:val="c8cacc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Rockwell" w:cs="Rockwell" w:eastAsia="Rockwell" w:hAnsi="Rockwell"/>
      <w:b w:val="1"/>
      <w:i w:val="1"/>
      <w:color w:val="c8cacc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Rockwell" w:cs="Rockwell" w:eastAsia="Rockwell" w:hAnsi="Rockwell"/>
      <w:color w:val="60646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93979b"/>
      <w:sz w:val="16"/>
      <w:szCs w:val="1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ddfe1" w:val="clear"/>
    </w:tcPr>
    <w:tblStylePr w:type="band1Horz">
      <w:tcPr>
        <w:shd w:fill="cbd0da" w:val="clear"/>
      </w:tcPr>
    </w:tblStylePr>
    <w:tblStylePr w:type="band2Horz">
      <w:tcPr>
        <w:shd w:fill="e7e9ed" w:val="clear"/>
      </w:tcPr>
    </w:tblStylePr>
    <w:tblStylePr w:type="firstRow">
      <w:rPr>
        <w:color w:val="ffffff"/>
      </w:rPr>
      <w:tcPr>
        <w:tcBorders>
          <w:bottom w:color="ffffff" w:space="0" w:sz="24" w:val="single"/>
        </w:tcBorders>
        <w:shd w:fill="004a88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forms.gle/tDCdJxTKFsEYJSM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